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接种新冠疫苗总结【九篇】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以下是为大家整理的关于接种新冠疫苗总结的文章9篇 ,欢迎品鉴！第1篇...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以下是为大家整理的关于接种新冠疫苗总结的文章9篇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接种新冠疫苗总结</w:t>
      </w:r>
    </w:p>
    <w:p>
      <w:pPr>
        <w:ind w:left="0" w:right="0" w:firstLine="560"/>
        <w:spacing w:before="450" w:after="450" w:line="312" w:lineRule="auto"/>
      </w:pPr>
      <w:r>
        <w:rPr>
          <w:rFonts w:ascii="宋体" w:hAnsi="宋体" w:eastAsia="宋体" w:cs="宋体"/>
          <w:color w:val="000"/>
          <w:sz w:val="28"/>
          <w:szCs w:val="28"/>
        </w:rPr>
        <w:t xml:space="preserve">　　2024年1-6月,按照省市县指挥部相关文件及会议要求，我县规范开展肺炎疫情防控和强力推进疫苗接种工作，现将工作开展情况总结如下。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　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第2篇: 接种新冠疫苗总结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第4篇: 接种新冠疫苗总结</w:t>
      </w:r>
    </w:p>
    <w:p>
      <w:pPr>
        <w:ind w:left="0" w:right="0" w:firstLine="560"/>
        <w:spacing w:before="450" w:after="450" w:line="312" w:lineRule="auto"/>
      </w:pPr>
      <w:r>
        <w:rPr>
          <w:rFonts w:ascii="宋体" w:hAnsi="宋体" w:eastAsia="宋体" w:cs="宋体"/>
          <w:color w:val="000"/>
          <w:sz w:val="28"/>
          <w:szCs w:val="28"/>
        </w:rPr>
        <w:t xml:space="preserve">　　按照省、市分阶段做好各类人群新冠疫苗接种工作相关要求，xx县积极准备，稳妥推进，现将工作开展情况汇报如下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　　县疫情防控工作领导小组印发了《xx县新冠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　　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&gt;　　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　　新冠疫苗附条件上市后我县财政共拨付县疾控中心疫苗采购及接种经费xx万元，县疾控中心采购新冠疫苗xx支。2024年3月为了确保分阶段做好全县各类人群新冠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&gt;　　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　　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&gt;　　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　　新冠疫苗接种工作以来，xx县多举措广泛开展宣传动员，正向引导舆情，有序引导群众正确认识疫苗接种在防控新冠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第5篇: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第6篇: 接种新冠疫苗总结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第7篇: 接种新冠疫苗总结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第8篇: 接种新冠疫苗总结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第9篇: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2025-04-24T01:38:19+08:00</dcterms:created>
  <dcterms:modified xsi:type="dcterms:W3CDTF">2025-04-24T01:38:19+08:00</dcterms:modified>
</cp:coreProperties>
</file>

<file path=docProps/custom.xml><?xml version="1.0" encoding="utf-8"?>
<Properties xmlns="http://schemas.openxmlformats.org/officeDocument/2006/custom-properties" xmlns:vt="http://schemas.openxmlformats.org/officeDocument/2006/docPropsVTypes"/>
</file>