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司法作风问题督察工作总结(推荐10篇)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司法作风问题督察工作总结1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司法作风问题督察工作总结1</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司法作风问题督察工作总结2</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xxx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司法作风问题督察工作总结3</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8月被行政中心评为服务先进窗口，9—10月份被评为服务优胜窗口。</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司法作风问题督察工作总结5</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司法作风问题督察工作总结6</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司法作风问题督察工作总结7</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司法作风问题督察工作总结8</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司法作风问题督察工作总结9</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司法作风问题督察工作总结10</w:t>
      </w:r>
    </w:p>
    <w:p>
      <w:pPr>
        <w:ind w:left="0" w:right="0" w:firstLine="560"/>
        <w:spacing w:before="450" w:after="450" w:line="312" w:lineRule="auto"/>
      </w:pPr>
      <w:r>
        <w:rPr>
          <w:rFonts w:ascii="宋体" w:hAnsi="宋体" w:eastAsia="宋体" w:cs="宋体"/>
          <w:color w:val="000"/>
          <w:sz w:val="28"/>
          <w:szCs w:val="28"/>
        </w:rPr>
        <w:t xml:space="preserve">一是在执法过程中，大力宣传药械管理法律、法规，督促、指导行政相对人学法、守法。通过发放调查问卷的形式，对行政相对人知法、守法方面进行调研，针对他们的需求，适时提供法律、政策帮助。二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三是积极组织对全县直接接触药品从业人员进行健康体检工作，今年体检工作比往年有很大进步，不但体检人数增多，体检工作做的更细致。20xx年体检500多人，20xx年体检514人，今年体检629人，对第一次体检不合格6人，全部要求复检，复检合格后方办理健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2025-01-23T02:21:06+08:00</dcterms:created>
  <dcterms:modified xsi:type="dcterms:W3CDTF">2025-01-23T02:21:06+08:00</dcterms:modified>
</cp:coreProperties>
</file>

<file path=docProps/custom.xml><?xml version="1.0" encoding="utf-8"?>
<Properties xmlns="http://schemas.openxmlformats.org/officeDocument/2006/custom-properties" xmlns:vt="http://schemas.openxmlformats.org/officeDocument/2006/docPropsVTypes"/>
</file>