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县计生委工作总结</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县计生委工作总结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w:t>
      </w:r>
    </w:p>
    <w:p>
      <w:pPr>
        <w:ind w:left="0" w:right="0" w:firstLine="560"/>
        <w:spacing w:before="450" w:after="450" w:line="312" w:lineRule="auto"/>
      </w:pPr>
      <w:r>
        <w:rPr>
          <w:rFonts w:ascii="宋体" w:hAnsi="宋体" w:eastAsia="宋体" w:cs="宋体"/>
          <w:color w:val="000"/>
          <w:sz w:val="28"/>
          <w:szCs w:val="28"/>
        </w:rPr>
        <w:t xml:space="preserve">县计生委工作总结</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一、XX年度人口和计划生育工作总结</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为搞好计划生育优质服务县创建活动，我们于年初提出了“人性化服务、零距离接触”的工作理念，在搞好“三大工程”的同时，扎实推进妇女病普查普治活动，深入开展随访服务，有效地推动了人口和计划生育工作的深入开展，拉近了与群众的距离。年初，出台了妇女病普查诊治工作规划暨实施方案，对妇女病普查诊治工作做出了具体安排。全年共对107个行政村的28418名已婚育龄妇女进行了妇女病普查，普查率达到88%，共查出患子宫肌瘤（癌）等重大疾病497人，其它疾病14061人，患病率为55.07%。具体做法：一是强化措施，严格奖惩，将妇女病普查诊治工作列入年度考核目标；二是充分宣传发动，印刷宣传品3万余份，提前发放到育龄妇女手中；三是全方位开展“传、帮、带”活动，抽调县技术指导站妇科专家组成专家普查组，深入基层对每乡一个行政村进行普查，现场培训和指导基层技术服务人员。四是在普查工作中，坚持“一看二查三验四治”的工作流程。一看：对普治对象全部进行b超查看；二查：对每一名育龄妇女进行妇科检查；三验：对认为需要做化验确诊的进行化验确诊；四治：对查出患各种疾病病情较轻的给予免费药物治疗，较重的建议到相关医院治疗。五是筹措资金4万元，现场向群众免费发放每个村大约500元的治疗药品；六是为患病群众建档立卡，实行跟踪随访服务等。由于宣传到位、组织得力、措施</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XX年人口和计划生育工作的指导思想是：以十六届四中全会精神、“三个代表”重要思想和即将召开的中央人口、资</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XX年人口和计划生育工作的工作思路是：以“十六届四中全会”精神为指针，全面贯彻“三个代表”重要思想，实干干实，与时俱进，强化三大举措，创新四种机制，开展五项活动，实现一个目标。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