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供水监察的工作总结(热门4篇)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供水监察的工作总结1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供水监察的工作总结1</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供水监察的工作总结2</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&gt;二、水厂项目建设情况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&gt;三、主要做法与体会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供水监察的工作总结3</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xxxxx，通过修旧利废活动，修复阀门xxxx，节省材料费支出120xxxx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的基础上，又自筹资金，对困难程度比较严重的2xxxx职工进行了慰问补助，帮助他们度难关。同时在今年上半年，我们还充分利用国家低保的优惠政策，在充分调查，走访的基础上，对1xxxx3xxxx的长补户，进行了调整，保证有限的资金，用在最需要的户上，同时公司领导还与相对较困难的xxxx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xx年一月减员6xxxx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xxxx增长到7xxxx，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供水监察的工作总结4</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&gt;一、深入开展群众路线教育实践活动，高标准、严要求，认真抓好各项工作的落实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&gt;二、加强管理，供水效益稳步有增长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&gt;三、多措并举，城市供水安全有保障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&gt;四、加强管理，努力降低产销差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&gt;五、齐心协力，供水工作再上新台阶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