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防医疗组长工作总结(实用7篇)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防医疗组长工作总结1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防医疗组长工作总结2</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防医疗组长工作总结5</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防医疗组长工作总结6</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防医疗组长工作总结7</w:t>
      </w:r>
    </w:p>
    <w:p>
      <w:pPr>
        <w:ind w:left="0" w:right="0" w:firstLine="560"/>
        <w:spacing w:before="450" w:after="450" w:line="312" w:lineRule="auto"/>
      </w:pPr>
      <w:r>
        <w:rPr>
          <w:rFonts w:ascii="宋体" w:hAnsi="宋体" w:eastAsia="宋体" w:cs="宋体"/>
          <w:color w:val="000"/>
          <w:sz w:val="28"/>
          <w:szCs w:val="28"/>
        </w:rPr>
        <w:t xml:space="preserve">根据_联防联控机制及省疫情防控领导小组相关文件要求，现将我市xx年春节期间返乡人员有关疫情防控措施通报工作总结如下：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_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平安健康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