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电诈预警劝阻工作总结(共28篇)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诈预警劝阻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电诈预警劝阻工作总结4</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电诈预警劝阻工作总结5</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电诈预警劝阻工作总结7</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电诈预警劝阻工作总结10</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电诈预警劝阻工作总结12</w:t>
      </w:r>
    </w:p>
    <w:p>
      <w:pPr>
        <w:ind w:left="0" w:right="0" w:firstLine="560"/>
        <w:spacing w:before="450" w:after="450" w:line="312" w:lineRule="auto"/>
      </w:pPr>
      <w:r>
        <w:rPr>
          <w:rFonts w:ascii="宋体" w:hAnsi="宋体" w:eastAsia="宋体" w:cs="宋体"/>
          <w:color w:val="000"/>
          <w:sz w:val="28"/>
          <w:szCs w:val="28"/>
        </w:rPr>
        <w:t xml:space="preserve">电信网络诈骗犯罪社会危害严重，群众深恶痛绝，为此xx县公安局针对辖区实际，在强化打击治理的同时，多措并举积极开展电信网络诈骗防范宣传工作，切实提高群众识骗、防骗能力。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电诈预警劝阻工作总结14</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电诈预警劝阻工作总结15</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电诈预警劝阻工作总结16</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犯罪案件审判质效，坚决遏制电信诈骗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电诈预警劝阻工作总结19</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电诈预警劝阻工作总结22</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电诈预警劝阻工作总结24</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电诈预警劝阻工作总结25</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2025-04-17T07:29:03+08:00</dcterms:created>
  <dcterms:modified xsi:type="dcterms:W3CDTF">2025-04-17T07:29:03+08:00</dcterms:modified>
</cp:coreProperties>
</file>

<file path=docProps/custom.xml><?xml version="1.0" encoding="utf-8"?>
<Properties xmlns="http://schemas.openxmlformats.org/officeDocument/2006/custom-properties" xmlns:vt="http://schemas.openxmlformats.org/officeDocument/2006/docPropsVTypes"/>
</file>