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,欢迎品鉴！【篇1】建党100...</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　　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　　&gt;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　　&gt;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　　&gt;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　　202_年，我们将迎来中国共产党成立100周年，让我们争做“孺子牛”“拓荒牛”“老黄牛”，在新时代新征程中砥砺前行。</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正如总书记在庆祝中国共产党成立100周年大会上所讲，202_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　　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