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学党史主题教育活动总结3篇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学党史主题教育活动总结三篇，希望能帮助到大家!　　学党史主题教育活动总结...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学党史主题教育活动总结三篇，希望能帮助到大家![_TAG_h2]　　学党史主题教育活动总结1篇</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　　学党史主题教育活动总结2篇</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　　学党史主题教育活动总结3篇</w:t>
      </w:r>
    </w:p>
    <w:p>
      <w:pPr>
        <w:ind w:left="0" w:right="0" w:firstLine="560"/>
        <w:spacing w:before="450" w:after="450" w:line="312" w:lineRule="auto"/>
      </w:pPr>
      <w:r>
        <w:rPr>
          <w:rFonts w:ascii="宋体" w:hAnsi="宋体" w:eastAsia="宋体" w:cs="宋体"/>
          <w:color w:val="000"/>
          <w:sz w:val="28"/>
          <w:szCs w:val="28"/>
        </w:rPr>
        <w:t xml:space="preserve">　　第三届党性党史主题教育开展以来，九龙街道尚庄小学对标高位、超前谋划，精心组织、全面展开，主题教育工作取得了阶段性成效。</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