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关于抗击肺炎疫情工作总结</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_TAG_h2]　　关于抗击肺炎疫情工作总结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　　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等媒体，及时报道全区各级各部门防控疫情的做法成效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涉及疫情的两办值班已督办，相关信息已回复，累计报区委值班督办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万多份，悬挂横幅多条，设置检查督导牌、宣传版面多个，扩大了覆盖面，提高了知晓率。发挥“村村响”应急广播作用，每天循环播放《一封信》《倡议书》等内容次。二是立足快公开，增强公信力。每天通过电视、广播、“村村响”应急广播、新媒体等平台发布《关于加强新型冠状病毒感染的肺炎疫情防控工作的公告》，目前，已发布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四是尽快维修无线应急广播。鉴于广播电视台维修人员不足现状，建议采取镇台联动模式，广电台提供技术服务，各镇街参考镇的做法(已经安排工程升降车检修，检修速度很快)，加快检修，确保宣传效果。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