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视频会议农村乡村振兴工作总结【三篇】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,欢迎品鉴！视频会议农村乡村振兴工作总结篇1　　根据区委确...</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视频会议农村乡村振兴工作总结篇1</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视频会议农村乡村振兴工作总结篇3</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