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村民的垃圾分类工作总结(通用30篇)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村民的垃圾分类工作总结1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村民的垃圾分类工作总结4</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是切实抓好工作落实。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x盟爱国卫生运动工作历史成果展》短片、“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村民的垃圾分类工作总结6</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村民的垃圾分类工作总结7</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&gt;三、开展垃圾分类实践活动，培养环境行为*惯</w:t>
      </w:r>
    </w:p>
    <w:p>
      <w:pPr>
        <w:ind w:left="0" w:right="0" w:firstLine="560"/>
        <w:spacing w:before="450" w:after="450" w:line="312" w:lineRule="auto"/>
      </w:pPr>
      <w:r>
        <w:rPr>
          <w:rFonts w:ascii="宋体" w:hAnsi="宋体" w:eastAsia="宋体" w:cs="宋体"/>
          <w:color w:val="000"/>
          <w:sz w:val="28"/>
          <w:szCs w:val="28"/>
        </w:rPr>
        <w:t xml:space="preserve">良好*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村民的垃圾分类工作总结8</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&gt;二、下步准备及建议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村民的垃圾分类工作总结10</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村民的垃圾分类工作总结11</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村民的垃圾分类工作总结14</w:t>
      </w:r>
    </w:p>
    <w:p>
      <w:pPr>
        <w:ind w:left="0" w:right="0" w:firstLine="560"/>
        <w:spacing w:before="450" w:after="450" w:line="312" w:lineRule="auto"/>
      </w:pPr>
      <w:r>
        <w:rPr>
          <w:rFonts w:ascii="宋体" w:hAnsi="宋体" w:eastAsia="宋体" w:cs="宋体"/>
          <w:color w:val="000"/>
          <w:sz w:val="28"/>
          <w:szCs w:val="28"/>
        </w:rPr>
        <w:t xml:space="preserve">农村生活垃圾治理工作总结</w:t>
      </w:r>
    </w:p>
    <w:p>
      <w:pPr>
        <w:ind w:left="0" w:right="0" w:firstLine="560"/>
        <w:spacing w:before="450" w:after="450" w:line="312" w:lineRule="auto"/>
      </w:pPr>
      <w:r>
        <w:rPr>
          <w:rFonts w:ascii="宋体" w:hAnsi="宋体" w:eastAsia="宋体" w:cs="宋体"/>
          <w:color w:val="000"/>
          <w:sz w:val="28"/>
          <w:szCs w:val="28"/>
        </w:rPr>
        <w:t xml:space="preserve">农村生活垃圾治理工作总结一：</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全县农村清洁提升工程实施方案》和《20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宋体" w:hAnsi="宋体" w:eastAsia="宋体" w:cs="宋体"/>
          <w:color w:val="000"/>
          <w:sz w:val="28"/>
          <w:szCs w:val="28"/>
        </w:rPr>
        <w:t xml:space="preserve">农村生活垃圾治理工作总结二：</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村民的垃圾分类工作总结15</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惯的工作，甚至可以把垃圾分类称作“垃圾革命”。改变人们长期以来的*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村民的垃圾分类工作总结16</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村民的垃圾分类工作总结17</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村民的垃圾分类工作总结18</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村民的垃圾分类工作总结20</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