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单位虎年春节送温暖活动总结(通用3篇)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春节慰问工作的目的是深入开展扶贫活动，营造温暖的社会氛围。 以下是为大家整理的关于单位虎年春节送温暖活动总结的文章3篇 ,欢迎品鉴！单位虎年春节送温暖活动总结篇1       在镇党委政府的正确领导下，在区扶贫部门的工作指导下，我镇扶贫工作...</w:t>
      </w:r>
    </w:p>
    <w:p>
      <w:pPr>
        <w:ind w:left="0" w:right="0" w:firstLine="560"/>
        <w:spacing w:before="450" w:after="450" w:line="312" w:lineRule="auto"/>
      </w:pPr>
      <w:r>
        <w:rPr>
          <w:rFonts w:ascii="宋体" w:hAnsi="宋体" w:eastAsia="宋体" w:cs="宋体"/>
          <w:color w:val="000"/>
          <w:sz w:val="28"/>
          <w:szCs w:val="28"/>
        </w:rPr>
        <w:t xml:space="preserve">春节慰问工作的目的是深入开展扶贫活动，营造温暖的社会氛围。 以下是为大家整理的关于单位虎年春节送温暖活动总结的文章3篇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单位虎年春节送温暖活动总结篇2</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单位虎年春节送温暖活动总结篇3</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