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2024年安全月工作总结简短 安全月工作总结幼儿园(三篇)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安全月工作总结简短 安全月工作总结幼儿园一一、_年主要工作内容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安全月工作总结幼儿园一</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