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最新质量管理个人年度总结(5篇)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质量管理个人年度总结一一、进厂原燃材料质量情况1.进厂石灰石未完成考核指标，质量波动相对较大，石灰石中氧化钙含量平均值虽达到要求，但有时含有大量的矿山剥离土和泥灰质岩，在雨季时造成石灰石水分大，以致破碎机被堵多次。氧化镁含量平均值达到了指标...</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质量管理个人年度总结一</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需要认真地为此写一份工作总结。下面小编给大家带来质量管理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_年_月_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_年_月_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20__年以来，我公司紧紧抓住市场需求旺盛的有利时机，严格按照质量管理体系的要求，加强进厂原燃材料、半成品、成品质量控制力度。进厂原燃材料质量相对稳定，生产过程质量可以控制，出厂水泥达到“三个一百”。现将公司20__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行政人事经理年终工作总结20_五篇&lt;/span[_TAG_h2]质量管理个人年度总结三</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质量管理个人年度总结四</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