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2024年医院设备科维修人员工作总结 医疗设备维修个人工作总结十二篇(模板)</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医院设备科维修人员工作总结 医疗设备维修个人工作总结一（二）加大硬件投入，改善网络设施。递交《关于医院网络系统现况汇报和升级改造的建议》，申请、建议购入hp370服务器一台，并进一步改善网络配置，保证网络安全高效运行。（三）完善软件系统，加...</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医疗设备维修个人工作总结一</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在过去的一年里，设备科切实提高管理水平，注重发挥科室职能，在医院设备及医用耗材的管理和维护做了一系列的工作。现汇报如下：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x光机；功能科彩超、脑电图；检验科全自动生化仪、细菌鉴定仪；感染科心电遥测仪、肝纤扫描仪；精神科音乐治疗仪、生物反馈仪、无抽搐电休克仪等设备的维修及保养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强检设备及时申请检验，如安全阀、氧压力表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（四）加强设备科信息化管理手段，购买里诺固定资产及设备管理系统，对我院所有医疗设备进行电脑管理，提高工作效率。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按照医用耗材管理的有关规定，加强医用耗材的日常监督管理，规范采购行为，降低采购价格，保障医用耗材质量，遏制购销环节的不正之风，以保障各科室提供物优价低的医疗设备、机械、耗材的供给以保障各科室医疗设备的正常运行从而保证了各科室的正常工作使医疗质量明显提高。</w:t>
      </w:r>
    </w:p>
    <w:p>
      <w:pPr>
        <w:ind w:left="0" w:right="0" w:firstLine="560"/>
        <w:spacing w:before="450" w:after="450" w:line="312" w:lineRule="auto"/>
      </w:pPr>
      <w:r>
        <w:rPr>
          <w:rFonts w:ascii="宋体" w:hAnsi="宋体" w:eastAsia="宋体" w:cs="宋体"/>
          <w:color w:val="000"/>
          <w:sz w:val="28"/>
          <w:szCs w:val="28"/>
        </w:rPr>
        <w:t xml:space="preserve">医疗机构应建立健全医用耗材不良反应监测制度，对本单位使用医用耗材的质量、疗效和反应进行跟踪观察。发现可能与医用耗材有关的不良反应事件，及时上报。</w:t>
      </w:r>
    </w:p>
    <w:p>
      <w:pPr>
        <w:ind w:left="0" w:right="0" w:firstLine="560"/>
        <w:spacing w:before="450" w:after="450" w:line="312" w:lineRule="auto"/>
      </w:pPr>
      <w:r>
        <w:rPr>
          <w:rFonts w:ascii="宋体" w:hAnsi="宋体" w:eastAsia="宋体" w:cs="宋体"/>
          <w:color w:val="000"/>
          <w:sz w:val="28"/>
          <w:szCs w:val="28"/>
        </w:rPr>
        <w:t xml:space="preserve">为进一步规范医院医用耗材的采购管理，贯彻落实公开、公平、公正原则，认真执行医用耗材采购的相关管理制度，扎实做好医院医用耗材阳光采购的各项工作。制定《设备采购流程》及《医用耗材采购流程》，要求严格按流程进行采购，并与经销商签定《医用耗材购销廉洁协议书》，做到保障供应、规范购进，积极有效推进医院医用耗材阳光采购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医疗设备维修个人工作总结三</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医疗设备维修个人工作总结四</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医疗设备维修个人工作总结五</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医疗设备维修个人工作总结六</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医疗设备维修个人工作总结七</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医疗设备维修个人工作总结八</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医疗设备维修个人工作总结九</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医疗设备维修个人工作总结篇十</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3901048.68，出库3682518.08元，全年材料购209830.10元，出库141538.15元，材料实现利润97970.90元。西院区药品全品种从总部药库调拨，西药房全年领取药品3795576.11元，其中住院药房售出3454334.54元，门诊药房售出138220.60元，中药房领取580419.11元，售出500493.73元。</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4"/>
          <w:szCs w:val="34"/>
          <w:b w:val="1"/>
          <w:bCs w:val="1"/>
        </w:rPr>
        <w:t xml:space="preserve">医院设备科维修人员工作总结 医疗设备维修个人工作总结篇十一</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医疗设备维修个人工作总结篇十二</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2025-01-30T15:48:27+08:00</dcterms:created>
  <dcterms:modified xsi:type="dcterms:W3CDTF">2025-01-30T15:48:27+08:00</dcterms:modified>
</cp:coreProperties>
</file>

<file path=docProps/custom.xml><?xml version="1.0" encoding="utf-8"?>
<Properties xmlns="http://schemas.openxmlformats.org/officeDocument/2006/custom-properties" xmlns:vt="http://schemas.openxmlformats.org/officeDocument/2006/docPropsVTypes"/>
</file>