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医院年度业务工作总结 个人(5篇)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一1、兼顾新厦、主楼，全院一盘棋，尤其在新厦狠抓操作规范，实现输液反应“零”突破；抓查对制度，全年查堵药品质量漏洞12例、一次性物品质量漏洞29例。2、配合股份制管理模式，抓护理质量和优秀服务，合理使用护工，保证患...</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个人四</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个人五</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