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乡镇医院医生工作总结(三篇)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20--年，是我院的开局之年，也是我院的发展之年，为了在天河镇及周遍乡镇建立品牌、占领市场、落地生根我院在院董事会的领导下，坚持高起点、高标准、高品位的角度和占市场、打基础、成本经营的理念：一是，大力加强设备投入，我们...</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