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2024年组织生活会问题清单及整改措施通用12篇</w:t>
      </w:r>
      <w:bookmarkEnd w:id="1"/>
    </w:p>
    <w:p>
      <w:pPr>
        <w:jc w:val="center"/>
        <w:spacing w:before="0" w:after="450"/>
      </w:pPr>
      <w:r>
        <w:rPr>
          <w:rFonts w:ascii="Arial" w:hAnsi="Arial" w:eastAsia="Arial" w:cs="Arial"/>
          <w:color w:val="999999"/>
          <w:sz w:val="20"/>
          <w:szCs w:val="20"/>
        </w:rPr>
        <w:t xml:space="preserve">来源：网络  作者：海棠云影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组织生活会由党支部召开，每年一次，一般在第四季度，党员领导干部要以普通党员身份参加所在党支部组织生活会。以下是小编整理的2024年组织生活会问题清单及整改措施(通用12篇)，仅供参考，希望能够帮助到大家。第1篇: 2024年组织生活会问题清...</w:t>
      </w:r>
    </w:p>
    <w:p>
      <w:pPr>
        <w:ind w:left="0" w:right="0" w:firstLine="560"/>
        <w:spacing w:before="450" w:after="450" w:line="312" w:lineRule="auto"/>
      </w:pPr>
      <w:r>
        <w:rPr>
          <w:rFonts w:ascii="宋体" w:hAnsi="宋体" w:eastAsia="宋体" w:cs="宋体"/>
          <w:color w:val="000"/>
          <w:sz w:val="28"/>
          <w:szCs w:val="28"/>
        </w:rPr>
        <w:t xml:space="preserve">组织生活会由党支部召开，每年一次，一般在第四季度，党员领导干部要以普通党员身份参加所在党支部组织生活会。以下是小编整理的2024年组织生活会问题清单及整改措施(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第11篇: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第12篇: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权威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__恶劣影响和“薄、王”思想遗毒。但还存在重大事、轻小节的问题，对待政治理论学习不够严肃认真，对上级交代的任务不能完全保质保量，政治敏锐性还有待提高。比如：2024年在彻底清除“薄王”思想遗毒和__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2024-11-22T19:17:05+08:00</dcterms:created>
  <dcterms:modified xsi:type="dcterms:W3CDTF">2024-11-22T19:17:05+08:00</dcterms:modified>
</cp:coreProperties>
</file>

<file path=docProps/custom.xml><?xml version="1.0" encoding="utf-8"?>
<Properties xmlns="http://schemas.openxmlformats.org/officeDocument/2006/custom-properties" xmlns:vt="http://schemas.openxmlformats.org/officeDocument/2006/docPropsVTypes"/>
</file>