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政治纪律政治规矩方面自我剖析材料范文通用4篇</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为大家收集的政治纪律政治规矩方面自我剖析材料范文(通用4篇)，仅供参考，欢迎大家阅读。【篇1】政治纪律政治规矩方面自我剖析材料　　按照省局通知要求和中心党总支安排，对...</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剖析，汉语词汇，拼音pōuxī，又作“破析”。意思是辨析，分析。以下是小编为大家收集的政治纪律政治规矩方面自我剖析材料范文(通用4篇)，仅供参考，欢迎大家阅读。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【篇2】政治纪律政治规矩方面自我剖析材料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