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党员个人查摆及整改问题清单范文15篇</w:t>
      </w:r>
      <w:bookmarkEnd w:id="1"/>
    </w:p>
    <w:p>
      <w:pPr>
        <w:jc w:val="center"/>
        <w:spacing w:before="0" w:after="450"/>
      </w:pPr>
      <w:r>
        <w:rPr>
          <w:rFonts w:ascii="Arial" w:hAnsi="Arial" w:eastAsia="Arial" w:cs="Arial"/>
          <w:color w:val="999999"/>
          <w:sz w:val="20"/>
          <w:szCs w:val="20"/>
        </w:rPr>
        <w:t xml:space="preserve">来源：网络  作者：深巷幽兰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中央强调“两学一做”学习教育，基础在学，关键在做，党员要做好个人查摆问题工作，并对不足的地方提出整改措施。以下是小编收集整理的党员个人查摆及整改问题清单范文十五篇，仅供参考，希望能够帮助到大家。第一篇: 党员个人查摆及整改问题清单　　抓实...</w:t>
      </w:r>
    </w:p>
    <w:p>
      <w:pPr>
        <w:ind w:left="0" w:right="0" w:firstLine="560"/>
        <w:spacing w:before="450" w:after="450" w:line="312" w:lineRule="auto"/>
      </w:pPr>
      <w:r>
        <w:rPr>
          <w:rFonts w:ascii="宋体" w:hAnsi="宋体" w:eastAsia="宋体" w:cs="宋体"/>
          <w:color w:val="000"/>
          <w:sz w:val="28"/>
          <w:szCs w:val="28"/>
        </w:rPr>
        <w:t xml:space="preserve">党中央强调“两学一做”学习教育，基础在学，关键在做，党员要做好个人查摆问题工作，并对不足的地方提出整改措施。以下是小编收集整理的党员个人查摆及整改问题清单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2025-04-12T01:14:54+08:00</dcterms:created>
  <dcterms:modified xsi:type="dcterms:W3CDTF">2025-04-12T01:14:54+08:00</dcterms:modified>
</cp:coreProperties>
</file>

<file path=docProps/custom.xml><?xml version="1.0" encoding="utf-8"?>
<Properties xmlns="http://schemas.openxmlformats.org/officeDocument/2006/custom-properties" xmlns:vt="http://schemas.openxmlformats.org/officeDocument/2006/docPropsVTypes"/>
</file>