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对照新时代党的治疆方略存在的问题与改正措施范文5篇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整理的对照新时代党的治疆方略存在的问题与改正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对照新时代党的治疆方略存在的问题与改正措施2</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对照新时代党的治疆方略存在的问题与改正措施4</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对照新时代党的治疆方略存在的问题与改正措施5</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