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收集整理的对党忠诚方面存在的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