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筑牢中华民族共同体意识演讲稿范文精选4篇</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筑牢中华民族共同体意识演讲稿范文(精选四篇),欢迎品鉴!五月的天山南北，微风拂面，大地充满了无限生机与活力。泽普县迎来了第27个民族团结教育月。民族团结教育月年年有，...</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演讲稿是在较为隆重的仪式上和某些公众场合发表讲话的文稿。以下是为大家整理的筑牢中华民族共同体意识演讲稿范文(精选四篇),欢迎品鉴!</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新疆的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开斋节、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