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篇一】干部作...</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