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能力作风建设年问题清单及整改措施范文精选14篇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收集整理的能力作风建设年问题清单及整改措施范文(精选14篇)，仅供参考，希望能够帮助到大家。第1篇: 能力作风建设年问题清单及整改措施　　1...</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收集整理的能力作风建设年问题清单及整改措施范文(精选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第5篇: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第6篇: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第7篇: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第8篇: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第9篇: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第10篇: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第11篇: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第13篇: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第14篇: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