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对照新时代党的治疆方略查找不足集合8篇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整理的对照新时代党的治疆方略查找不足集合8篇，欢迎阅读与收藏。【篇1】对照新时代党的治疆方略查找不足　　时间的脚步总是匆匆而过，不知不觉地我们又...</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1、要高举社会主义法治旗帜，弘扬法治精神，把全面依法治国的要求落实到新疆工作各个领域。以下是小编整理的对照新时代党的治疆方略查找不足集合8篇，欢迎阅读与收藏。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