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对照新时代合格党员标准方面存在的问题集合15篇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党员数量决定着一个党的规模和群众基础，党员素质在很大程度上决定着党的水平。下面是小编为大家整理的对照新时代合格党员标准方面存在的问题集合15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党员数量决定着一个党的规模和群众基础，党员素质在很大程度上决定着党的水平。下面是小编为大家整理的对照新时代合格党员标准方面存在的问题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对照新时代合格党员标准方面存在的问题10</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对照新时代合格党员标准方面存在的问题11</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对照新时代合格党员标准方面存在的问题13</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对照新时代合格党员标准方面存在的问题15</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