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2024年民主生活会自我剖析材料通用3篇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力倡导雷厉风行的工作作风，认真协助局党委抓好重点工作、解决瓶颈难题、推动创新发展，切实增强敢做善成的勇气和争创一流的决心。以下是小编整理的2024年民主生活会自我剖析材料(通用3篇)，仅供参考，希望能够帮助到大家。　　根据人社局党员领导干...</w:t>
      </w:r>
    </w:p>
    <w:p>
      <w:pPr>
        <w:ind w:left="0" w:right="0" w:firstLine="560"/>
        <w:spacing w:before="450" w:after="450" w:line="312" w:lineRule="auto"/>
      </w:pPr>
      <w:r>
        <w:rPr>
          <w:rFonts w:ascii="宋体" w:hAnsi="宋体" w:eastAsia="宋体" w:cs="宋体"/>
          <w:color w:val="000"/>
          <w:sz w:val="28"/>
          <w:szCs w:val="28"/>
        </w:rPr>
        <w:t xml:space="preserve">大力倡导雷厉风行的工作作风，认真协助局党委抓好重点工作、解决瓶颈难题、推动创新发展，切实增强敢做善成的勇气和争创一流的决心。以下是小编整理的2024年民主生活会自我剖析材料(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