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2024年组织生活个人对照检查材料6个方面范文3篇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个人对照检查材料6个方面范文三篇，仅供参考，希望能够帮助到大家。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个人对照检查材料6个方面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