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篇1】组织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篇7】组织生活会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