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关于医院组织生活会对照检查材料16篇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医院组织生活会对照检查材料【十六篇】，仅供参考，大家一起来看看吧。第一篇: 医院组织生活会对照检查材料　　按照镇江市规划设...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组织生活会：是党支部或党小组以交流思想，总结交流经验，开展批评与自我批评为中心内容的组织活动制度。以下是小编整理的关于医院组织生活会对照检查材料【十六篇】，仅供参考，大家一起来看看吧。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第七篇: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第九篇: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第十篇: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第十一篇: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第十二篇: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第十三篇: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第十四篇: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第十五篇: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第十六篇: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