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2024年组织生活个人对照检查材料6个方面15篇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为大家收集的2024年组织生活个人对照检查材料6个方面十五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