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党员教师组织生活会个人检视剖析材料范文精选10篇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教师组织生活会个人检视剖析材料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党员教师组织生活会个人检视剖析材料篇9</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党员教师组织生活会个人检视剖析材料篇10</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