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新时代党的治疆方略对照材料11篇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新时代党的治疆方略对照材料1　...</w:t>
      </w:r>
    </w:p>
    <w:p>
      <w:pPr>
        <w:ind w:left="0" w:right="0" w:firstLine="560"/>
        <w:spacing w:before="450" w:after="450" w:line="312" w:lineRule="auto"/>
      </w:pPr>
      <w:r>
        <w:rPr>
          <w:rFonts w:ascii="宋体" w:hAnsi="宋体" w:eastAsia="宋体" w:cs="宋体"/>
          <w:color w:val="000"/>
          <w:sz w:val="28"/>
          <w:szCs w:val="28"/>
        </w:rPr>
        <w:t xml:space="preserve">党规是中国共产党的各级组织和全体党员必须遵守的行为规范和规则，包括章程、条例、规则、规定、办法、细则等。党规有狭义和广义之分。以下是小编整理的新时代党的治疆方略对照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2024-11-22T15:09:25+08:00</dcterms:created>
  <dcterms:modified xsi:type="dcterms:W3CDTF">2024-11-22T15:09:25+08:00</dcterms:modified>
</cp:coreProperties>
</file>

<file path=docProps/custom.xml><?xml version="1.0" encoding="utf-8"?>
<Properties xmlns="http://schemas.openxmlformats.org/officeDocument/2006/custom-properties" xmlns:vt="http://schemas.openxmlformats.org/officeDocument/2006/docPropsVTypes"/>
</file>