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七篇】，欢迎阅读与收藏。党员不准信教方面存在的问题及整改措施1　　按照教育工委关于召开不准共产党员信仰宗教和参与...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党员不准信教方面存在的问题及整改措施6</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