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对照落实党中央和上级党组织部署要求方面范文15篇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为大家收集的对照落实党中央和上...</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为大家收集的对照落实党中央和上级党组织部署要求方面范文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