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 建投个人工作总结(4篇)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 建投个人工作总结一在分行党委和个人金融部主任室的正确领导下，我们紧紧围绕“建设省内卓越银行”，20_年率先实现净利润超6.8亿的经营目标，积极筹备，部署计划，践行目标。一、工作绩效目标完成情况截止11月末，管辖片区中高...</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