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客运公司年度工作总结 客运运输公司个人总结(五篇)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客运公司年度工作总结 客运运输公司个人总结一首先以安全为根基，日常工作中认真、仔细地查验驾乘人员五证两卡，进行酒精检测，车容车貌保持干净整洁，对于不合格的车辆一律不予报班。其次文化为引领，书籍是人类进步的阶梯，我们科室组织学习了《骨干是折腾...</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客运运输公司个人总结一</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客运运输公司个人总结二</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_”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客运运输公司个人总结三</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客运运输公司个人总结四</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客运公司年度工作总结 客运运输公司个人总结五</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