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主题公司意识形态领域工作汇报怎么写</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主题公司意识形态领域工作汇报怎么写一(一)提高政治站位，抓住“关键少数”，夯实思想基础。今年以来，xx公司党委坚持抓基础、抓根本、抓长远，充分利用两级中心组理论学习、主题党日、专题党课、二五活动、党务例会，继续深入学习贯彻党的十九大精神和习...</w:t>
      </w:r>
    </w:p>
    <w:p>
      <w:pPr>
        <w:ind w:left="0" w:right="0" w:firstLine="560"/>
        <w:spacing w:before="450" w:after="450" w:line="312" w:lineRule="auto"/>
      </w:pPr>
      <w:r>
        <w:rPr>
          <w:rFonts w:ascii="黑体" w:hAnsi="黑体" w:eastAsia="黑体" w:cs="黑体"/>
          <w:color w:val="000000"/>
          <w:sz w:val="36"/>
          <w:szCs w:val="36"/>
          <w:b w:val="1"/>
          <w:bCs w:val="1"/>
        </w:rPr>
        <w:t xml:space="preserve">主题公司意识形态领域工作汇报怎么写一</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2025-04-04T05:26:57+08:00</dcterms:created>
  <dcterms:modified xsi:type="dcterms:W3CDTF">2025-04-04T05:26:57+08:00</dcterms:modified>
</cp:coreProperties>
</file>

<file path=docProps/custom.xml><?xml version="1.0" encoding="utf-8"?>
<Properties xmlns="http://schemas.openxmlformats.org/officeDocument/2006/custom-properties" xmlns:vt="http://schemas.openxmlformats.org/officeDocument/2006/docPropsVTypes"/>
</file>