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在县人事人才工作会议上的讲话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县人事人才工作会议上的讲话着力抓好改革完善人才配置机制推动人事编制工作再上新台阶同志们：～年，县人事局在县委、政府的领导下，在县人大、政协的监督下，认真实践“三个代表”，全面贯彻中央、盛市、县人才工作会议精神，认真落实县第十届三...</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第一篇：在县人事人才工作会议上的讲话</w:t>
      </w:r>
    </w:p>
    <w:p>
      <w:pPr>
        <w:ind w:left="0" w:right="0" w:firstLine="560"/>
        <w:spacing w:before="450" w:after="450" w:line="312" w:lineRule="auto"/>
      </w:pPr>
      <w:r>
        <w:rPr>
          <w:rFonts w:ascii="宋体" w:hAnsi="宋体" w:eastAsia="宋体" w:cs="宋体"/>
          <w:color w:val="000"/>
          <w:sz w:val="28"/>
          <w:szCs w:val="28"/>
        </w:rPr>
        <w:t xml:space="preserve">着力抓好改革完善人才配置机制</w:t>
      </w:r>
    </w:p>
    <w:p>
      <w:pPr>
        <w:ind w:left="0" w:right="0" w:firstLine="560"/>
        <w:spacing w:before="450" w:after="450" w:line="312" w:lineRule="auto"/>
      </w:pPr>
      <w:r>
        <w:rPr>
          <w:rFonts w:ascii="宋体" w:hAnsi="宋体" w:eastAsia="宋体" w:cs="宋体"/>
          <w:color w:val="000"/>
          <w:sz w:val="28"/>
          <w:szCs w:val="28"/>
        </w:rPr>
        <w:t xml:space="preserve">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县人事局在县委、政府的领导下，在县人大、政协的监督下，认真实践“三个代表”，全面贯彻中央、盛市、县人才工作会议精神，认真落实县第十届三次、四次全委会和第十三届三次人代会精神，围绕县委政府的中心工作，积极开展各项人事人才工作，切实加强自身建设，～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盛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年度考核，加强对年度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2025-01-19T03:23:11+08:00</dcterms:created>
  <dcterms:modified xsi:type="dcterms:W3CDTF">2025-01-19T03:23:11+08:00</dcterms:modified>
</cp:coreProperties>
</file>

<file path=docProps/custom.xml><?xml version="1.0" encoding="utf-8"?>
<Properties xmlns="http://schemas.openxmlformats.org/officeDocument/2006/custom-properties" xmlns:vt="http://schemas.openxmlformats.org/officeDocument/2006/docPropsVTypes"/>
</file>