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第五课人民代表大会制度复习导学案[本站推荐]</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第一篇：第五课人民代表大会制度复习导学案[本站推荐]渤油一中高二政治（文科）复习导学案第三单元发展社会主义民主政治主备人：程忠燕审核人：王淑敏使用时间：15周编号：第五课 我国的人民代表大会制度导学案[高考考点]1、全国人民代表大会的性质...</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第一篇：第五课人民代表大会制度复习导学案[本站推荐]</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