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2024年1季度江苏省常熟市经济总体运行情况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第一篇：2024年1季度江苏省常熟市经济总体运行情况2024年1季度江苏省常熟市经济总体运行情况 今年以来，全市紧紧围绕苏南现代化示范区建设目标，以“重大项目突破年”为主抓手，加快转型升级，狠抓项目建设，强化服务效能，不断提高经济发展质量...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