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农业产业化国家重点龙头企业认定标准(基本指标方面)</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国家重点龙头企业认定标准(基本指标方面)国家重点龙头企业基本标准1、企业经营的产品。企业中农产品生产、加工、流通的销售收入（交易额）占总销售收入（总交易额）70％以上。2、生产、加工、流通企业规模。总资产规模：东部地区1...</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第一篇：农业产业化国家重点龙头企业认定标准(基本指标方面)</w:t>
      </w:r>
    </w:p>
    <w:p>
      <w:pPr>
        <w:ind w:left="0" w:right="0" w:firstLine="560"/>
        <w:spacing w:before="450" w:after="450" w:line="312" w:lineRule="auto"/>
      </w:pPr>
      <w:r>
        <w:rPr>
          <w:rFonts w:ascii="宋体" w:hAnsi="宋体" w:eastAsia="宋体" w:cs="宋体"/>
          <w:color w:val="000"/>
          <w:sz w:val="28"/>
          <w:szCs w:val="28"/>
        </w:rPr>
        <w:t xml:space="preserve">国家重点龙头企业基本标准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w:t>
      </w:r>
    </w:p>
    <w:p>
      <w:pPr>
        <w:ind w:left="0" w:right="0" w:firstLine="560"/>
        <w:spacing w:before="450" w:after="450" w:line="312" w:lineRule="auto"/>
      </w:pPr>
      <w:r>
        <w:rPr>
          <w:rFonts w:ascii="宋体" w:hAnsi="宋体" w:eastAsia="宋体" w:cs="宋体"/>
          <w:color w:val="000"/>
          <w:sz w:val="28"/>
          <w:szCs w:val="28"/>
        </w:rPr>
        <w:t xml:space="preserve">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 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 2同、合作和股份合作方式从农民、合作社或自建基地直接采购的原料或购进的货物占所需原料量或所销售货物量的70％以上。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农业产业化国家级龙头企业申报标准或条件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第四条凡申报或已获准作为国家重点龙头企业的企业，适用本办法。第二章 申 报</w:t>
      </w:r>
    </w:p>
    <w:p>
      <w:pPr>
        <w:ind w:left="0" w:right="0" w:firstLine="560"/>
        <w:spacing w:before="450" w:after="450" w:line="312" w:lineRule="auto"/>
      </w:pPr>
      <w:r>
        <w:rPr>
          <w:rFonts w:ascii="宋体" w:hAnsi="宋体" w:eastAsia="宋体" w:cs="宋体"/>
          <w:color w:val="000"/>
          <w:sz w:val="28"/>
          <w:szCs w:val="28"/>
        </w:rPr>
        <w:t xml:space="preserve">第五条申报企业应符合以下基本标准：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 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3.企业的带动能力和利益联结关系情况须由县以上农村经营管理部门提供说明。应将企业带动农户情况进行公示，接受社会监督；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 5.企业产品质量安全情况须由所在地农业或其他法定监管部门提供书面证明。第八条申报程序：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 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第九条中央所属企业根据属地原则，按照本办法第八条申报程序申报，并同时将有关材料逐级报送中央主管部门或主管企业。</w:t>
      </w:r>
    </w:p>
    <w:p>
      <w:pPr>
        <w:ind w:left="0" w:right="0" w:firstLine="560"/>
        <w:spacing w:before="450" w:after="450" w:line="312" w:lineRule="auto"/>
      </w:pPr>
      <w:r>
        <w:rPr>
          <w:rFonts w:ascii="宋体" w:hAnsi="宋体" w:eastAsia="宋体" w:cs="宋体"/>
          <w:color w:val="000"/>
          <w:sz w:val="28"/>
          <w:szCs w:val="28"/>
        </w:rPr>
        <w:t xml:space="preserve">第三章 认 定</w:t>
      </w:r>
    </w:p>
    <w:p>
      <w:pPr>
        <w:ind w:left="0" w:right="0" w:firstLine="560"/>
        <w:spacing w:before="450" w:after="450" w:line="312" w:lineRule="auto"/>
      </w:pPr>
      <w:r>
        <w:rPr>
          <w:rFonts w:ascii="宋体" w:hAnsi="宋体" w:eastAsia="宋体" w:cs="宋体"/>
          <w:color w:val="000"/>
          <w:sz w:val="28"/>
          <w:szCs w:val="28"/>
        </w:rPr>
        <w:t xml:space="preserve">第十条由农业经济、农产品加工、种植养殖、企业管理、财务审计、有关行业协会、研究单位等方面的专家组成国家重点龙头企业认定、监测工作专家库。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 行 监 测</w:t>
      </w:r>
    </w:p>
    <w:p>
      <w:pPr>
        <w:ind w:left="0" w:right="0" w:firstLine="560"/>
        <w:spacing w:before="450" w:after="450" w:line="312" w:lineRule="auto"/>
      </w:pPr>
      <w:r>
        <w:rPr>
          <w:rFonts w:ascii="宋体" w:hAnsi="宋体" w:eastAsia="宋体" w:cs="宋体"/>
          <w:color w:val="000"/>
          <w:sz w:val="28"/>
          <w:szCs w:val="28"/>
        </w:rPr>
        <w:t xml:space="preserve">第十四条对国家重点龙头企业实行动态管理，建立竞争淘汰机制，做到有出有进、等额递补。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全国农业产业化联席会议成员单位加强对国家重点龙头企业经济运行情况的跟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第十七条监测评估的具体办法是： 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村经营管理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第二十四条本办法由农业部农业产业化办公室负责解释。第二十五条本办法自发布之日起施行，《农业产业化国家重点龙头企业认定和运行监测管理暂行办法》（农经发[2024]4号）同时废止。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元月10日，全国农业产业化联席会议九部门在人民大会堂联合举行了新闻发布会，会上公布了第二批农业产业化国家重点龙头企业的监测认定结果。北京汇源饮料食品集团有限公司等235家企业榜上有名。与此同时，通过对第一批151家国家重点龙头企业的运行情况监测后，其中有14家企业因达不到国家重点龙头企业的标准和要求，不再享有农业产业化国家重点龙头企业称号。</w:t>
      </w:r>
    </w:p>
    <w:p>
      <w:pPr>
        <w:ind w:left="0" w:right="0" w:firstLine="560"/>
        <w:spacing w:before="450" w:after="450" w:line="312" w:lineRule="auto"/>
      </w:pPr>
      <w:r>
        <w:rPr>
          <w:rFonts w:ascii="宋体" w:hAnsi="宋体" w:eastAsia="宋体" w:cs="宋体"/>
          <w:color w:val="000"/>
          <w:sz w:val="28"/>
          <w:szCs w:val="28"/>
        </w:rPr>
        <w:t xml:space="preserve">认定国家重点龙头企业、确定重点扶持对象，是按照中央关于在全国选择一批有基础、有优势、有特色、有前景的龙头企业作为国家支持重点的要求开展的，是农业部、国家计委、国家经贸委、财政部、外经贸部、中国人民银行、国家税务总局、中国证监会、全国供销总社等九部门贯彻落实党的十六大和中央经济工作会议、中央农村工作会议精神，积极推进农业产业化经营的重要举措。</w:t>
      </w:r>
    </w:p>
    <w:p>
      <w:pPr>
        <w:ind w:left="0" w:right="0" w:firstLine="560"/>
        <w:spacing w:before="450" w:after="450" w:line="312" w:lineRule="auto"/>
      </w:pPr>
      <w:r>
        <w:rPr>
          <w:rFonts w:ascii="宋体" w:hAnsi="宋体" w:eastAsia="宋体" w:cs="宋体"/>
          <w:color w:val="000"/>
          <w:sz w:val="28"/>
          <w:szCs w:val="28"/>
        </w:rPr>
        <w:t xml:space="preserve">本次国家重点龙头企业认定和监测，得到了各地龙头企业和社会各界的普遍关注。为做好此项工作，农业部等九部门专门制定了《农业产业化国家重点龙头企业认定和运行监测管理暂行办法》。认定工作从始至终都坚持了公开、公正、公平的原则。企业申报，地方推荐，专家评审，九部门认定，做到优中选优、扶优扶强。</w:t>
      </w:r>
    </w:p>
    <w:p>
      <w:pPr>
        <w:ind w:left="0" w:right="0" w:firstLine="560"/>
        <w:spacing w:before="450" w:after="450" w:line="312" w:lineRule="auto"/>
      </w:pPr>
      <w:r>
        <w:rPr>
          <w:rFonts w:ascii="宋体" w:hAnsi="宋体" w:eastAsia="宋体" w:cs="宋体"/>
          <w:color w:val="000"/>
          <w:sz w:val="28"/>
          <w:szCs w:val="28"/>
        </w:rPr>
        <w:t xml:space="preserve">新认定的第二批国家重点龙头企业都各具特色。据初步统计，此次认定企业的平均固定资产已达2．5亿元，销售收入6．7亿元。从地区分布看，东部地区占43．8％，中部地区占26％，西部地区占30．2％。从产业类型看，粮棉油类占34％，水果、蔬菜等园艺产品类占30．2％，肉蛋奶等畜牧产品类占25．1％，水产品类占4．7％，其它占6％，基本反映了我国当前各地农业产业化发展的水平和行业发展特点。</w:t>
      </w:r>
    </w:p>
    <w:p>
      <w:pPr>
        <w:ind w:left="0" w:right="0" w:firstLine="560"/>
        <w:spacing w:before="450" w:after="450" w:line="312" w:lineRule="auto"/>
      </w:pPr>
      <w:r>
        <w:rPr>
          <w:rFonts w:ascii="宋体" w:hAnsi="宋体" w:eastAsia="宋体" w:cs="宋体"/>
          <w:color w:val="000"/>
          <w:sz w:val="28"/>
          <w:szCs w:val="28"/>
        </w:rPr>
        <w:t xml:space="preserve">第二批国家重点龙头企业大都是省级重点龙头企业，在当地发挥了示范带头作用，平均每个企业带动农户达6．4万户。北京汇源饮料食品集团有限公司的果汁加工、内蒙古蒙牛乳业股份有限公司的乳品加工、新疆屯河投资股份有限公司的番茄加工、四川新希望集团有限公司的饲料加工等，都在全国有较大影响，在当地发挥了示范带动作用。</w:t>
      </w:r>
    </w:p>
    <w:p>
      <w:pPr>
        <w:ind w:left="0" w:right="0" w:firstLine="560"/>
        <w:spacing w:before="450" w:after="450" w:line="312" w:lineRule="auto"/>
      </w:pPr>
      <w:r>
        <w:rPr>
          <w:rFonts w:ascii="宋体" w:hAnsi="宋体" w:eastAsia="宋体" w:cs="宋体"/>
          <w:color w:val="000"/>
          <w:sz w:val="28"/>
          <w:szCs w:val="28"/>
        </w:rPr>
        <w:t xml:space="preserve">在新闻发布会上，农业部部长杜青林强调，积极推进农业产业化经营，培育壮大龙头企业，提高农民进入市场的组织化程度和农业综合效益，是促进农村先进生产力发展，加快建设现代农业，繁荣农村经济的有效措施，是新世纪、新阶段农业和农村工作中一件带有方向性、全局性的大事，具有重大的战略意义。</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第四篇：农业产业化国家重点龙头企业申报标准及程序</w:t>
      </w:r>
    </w:p>
    <w:p>
      <w:pPr>
        <w:ind w:left="0" w:right="0" w:firstLine="560"/>
        <w:spacing w:before="450" w:after="450" w:line="312" w:lineRule="auto"/>
      </w:pPr>
      <w:r>
        <w:rPr>
          <w:rFonts w:ascii="宋体" w:hAnsi="宋体" w:eastAsia="宋体" w:cs="宋体"/>
          <w:color w:val="000"/>
          <w:sz w:val="28"/>
          <w:szCs w:val="28"/>
        </w:rPr>
        <w:t xml:space="preserve">农业产业化国家重点龙头企业 申报条件、材料及程序</w:t>
      </w:r>
    </w:p>
    <w:p>
      <w:pPr>
        <w:ind w:left="0" w:right="0" w:firstLine="560"/>
        <w:spacing w:before="450" w:after="450" w:line="312" w:lineRule="auto"/>
      </w:pPr>
      <w:r>
        <w:rPr>
          <w:rFonts w:ascii="宋体" w:hAnsi="宋体" w:eastAsia="宋体" w:cs="宋体"/>
          <w:color w:val="000"/>
          <w:sz w:val="28"/>
          <w:szCs w:val="28"/>
        </w:rPr>
        <w:t xml:space="preserve">一、申报农业产业化国家重点龙头企业须具备的条件</w:t>
      </w:r>
    </w:p>
    <w:p>
      <w:pPr>
        <w:ind w:left="0" w:right="0" w:firstLine="560"/>
        <w:spacing w:before="450" w:after="450" w:line="312" w:lineRule="auto"/>
      </w:pPr>
      <w:r>
        <w:rPr>
          <w:rFonts w:ascii="宋体" w:hAnsi="宋体" w:eastAsia="宋体" w:cs="宋体"/>
          <w:color w:val="000"/>
          <w:sz w:val="28"/>
          <w:szCs w:val="28"/>
        </w:rPr>
        <w:t xml:space="preserve">农业产业化国家重点龙头企业是指以农产品加工或流通为主业，通过各种利益联结机制与农户相联系，带动农户进入市场，使农产品生产、加工、销售有机结合、相互促进，在规模和经营指标上达到规定标准并经全国农业产业化联席会议认定的企业。</w:t>
      </w:r>
    </w:p>
    <w:p>
      <w:pPr>
        <w:ind w:left="0" w:right="0" w:firstLine="560"/>
        <w:spacing w:before="450" w:after="450" w:line="312" w:lineRule="auto"/>
      </w:pPr>
      <w:r>
        <w:rPr>
          <w:rFonts w:ascii="宋体" w:hAnsi="宋体" w:eastAsia="宋体" w:cs="宋体"/>
          <w:color w:val="000"/>
          <w:sz w:val="28"/>
          <w:szCs w:val="28"/>
        </w:rPr>
        <w:t xml:space="preserve">基本标准：</w:t>
      </w:r>
    </w:p>
    <w:p>
      <w:pPr>
        <w:ind w:left="0" w:right="0" w:firstLine="560"/>
        <w:spacing w:before="450" w:after="450" w:line="312" w:lineRule="auto"/>
      </w:pPr>
      <w:r>
        <w:rPr>
          <w:rFonts w:ascii="宋体" w:hAnsi="宋体" w:eastAsia="宋体" w:cs="宋体"/>
          <w:color w:val="000"/>
          <w:sz w:val="28"/>
          <w:szCs w:val="28"/>
        </w:rPr>
        <w:t xml:space="preserve">1、企业组织形式</w:t>
      </w:r>
    </w:p>
    <w:p>
      <w:pPr>
        <w:ind w:left="0" w:right="0" w:firstLine="560"/>
        <w:spacing w:before="450" w:after="450" w:line="312" w:lineRule="auto"/>
      </w:pPr>
      <w:r>
        <w:rPr>
          <w:rFonts w:ascii="宋体" w:hAnsi="宋体" w:eastAsia="宋体" w:cs="宋体"/>
          <w:color w:val="000"/>
          <w:sz w:val="28"/>
          <w:szCs w:val="28"/>
        </w:rPr>
        <w:t xml:space="preserve">依法设立的以农产品加工或流通为主业、具有独立法人资格的企业。包括依照《公司法》设立的公司，其他形式的国有、集体、私营企业以及中外合资经营、中外合作经营、外商独资企业，直接在工商行政管理部门登记开办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w:t>
      </w:r>
    </w:p>
    <w:p>
      <w:pPr>
        <w:ind w:left="0" w:right="0" w:firstLine="560"/>
        <w:spacing w:before="450" w:after="450" w:line="312" w:lineRule="auto"/>
      </w:pPr>
      <w:r>
        <w:rPr>
          <w:rFonts w:ascii="宋体" w:hAnsi="宋体" w:eastAsia="宋体" w:cs="宋体"/>
          <w:color w:val="000"/>
          <w:sz w:val="28"/>
          <w:szCs w:val="28"/>
        </w:rPr>
        <w:t xml:space="preserve">企业中农产品加工、流通的增加值占总增加值70%以上。</w:t>
      </w:r>
    </w:p>
    <w:p>
      <w:pPr>
        <w:ind w:left="0" w:right="0" w:firstLine="560"/>
        <w:spacing w:before="450" w:after="450" w:line="312" w:lineRule="auto"/>
      </w:pPr>
      <w:r>
        <w:rPr>
          <w:rFonts w:ascii="宋体" w:hAnsi="宋体" w:eastAsia="宋体" w:cs="宋体"/>
          <w:color w:val="000"/>
          <w:sz w:val="28"/>
          <w:szCs w:val="28"/>
        </w:rPr>
        <w:t xml:space="preserve">3、加工、流通企业规模</w:t>
      </w:r>
    </w:p>
    <w:p>
      <w:pPr>
        <w:ind w:left="0" w:right="0" w:firstLine="560"/>
        <w:spacing w:before="450" w:after="450" w:line="312" w:lineRule="auto"/>
      </w:pPr>
      <w:r>
        <w:rPr>
          <w:rFonts w:ascii="宋体" w:hAnsi="宋体" w:eastAsia="宋体" w:cs="宋体"/>
          <w:color w:val="000"/>
          <w:sz w:val="28"/>
          <w:szCs w:val="28"/>
        </w:rPr>
        <w:t xml:space="preserve">总资产规模：东部地区1亿元以上，中部地区7000万元以上，西部地区4000万元以上；</w:t>
      </w:r>
    </w:p>
    <w:p>
      <w:pPr>
        <w:ind w:left="0" w:right="0" w:firstLine="560"/>
        <w:spacing w:before="450" w:after="450" w:line="312" w:lineRule="auto"/>
      </w:pPr>
      <w:r>
        <w:rPr>
          <w:rFonts w:ascii="宋体" w:hAnsi="宋体" w:eastAsia="宋体" w:cs="宋体"/>
          <w:color w:val="000"/>
          <w:sz w:val="28"/>
          <w:szCs w:val="28"/>
        </w:rPr>
        <w:t xml:space="preserve">固定资产规模：东部地区5000万元以上，中部地区3000万元以上，西部地区2024万元以上；</w:t>
      </w:r>
    </w:p>
    <w:p>
      <w:pPr>
        <w:ind w:left="0" w:right="0" w:firstLine="560"/>
        <w:spacing w:before="450" w:after="450" w:line="312" w:lineRule="auto"/>
      </w:pPr>
      <w:r>
        <w:rPr>
          <w:rFonts w:ascii="宋体" w:hAnsi="宋体" w:eastAsia="宋体" w:cs="宋体"/>
          <w:color w:val="000"/>
          <w:sz w:val="28"/>
          <w:szCs w:val="28"/>
        </w:rPr>
        <w:t xml:space="preserve">年销售收入：东部地区1.5亿元以上，中部地区1亿元以上，西部地区5000万元以上。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  东部地区10亿元以上，中部地区8亿元以上，西部地区6亿元以上。</w:t>
      </w:r>
    </w:p>
    <w:p>
      <w:pPr>
        <w:ind w:left="0" w:right="0" w:firstLine="560"/>
        <w:spacing w:before="450" w:after="450" w:line="312" w:lineRule="auto"/>
      </w:pPr>
      <w:r>
        <w:rPr>
          <w:rFonts w:ascii="宋体" w:hAnsi="宋体" w:eastAsia="宋体" w:cs="宋体"/>
          <w:color w:val="000"/>
          <w:sz w:val="28"/>
          <w:szCs w:val="28"/>
        </w:rPr>
        <w:t xml:space="preserve">5、企业效益</w:t>
      </w:r>
    </w:p>
    <w:p>
      <w:pPr>
        <w:ind w:left="0" w:right="0" w:firstLine="560"/>
        <w:spacing w:before="450" w:after="450" w:line="312" w:lineRule="auto"/>
      </w:pPr>
      <w:r>
        <w:rPr>
          <w:rFonts w:ascii="宋体" w:hAnsi="宋体" w:eastAsia="宋体" w:cs="宋体"/>
          <w:color w:val="000"/>
          <w:sz w:val="28"/>
          <w:szCs w:val="28"/>
        </w:rPr>
        <w:t xml:space="preserve">企业的总资产报酬率应高于同期银行贷款利率；企业应不欠税、不欠工资、不欠社会保险金、不欠折旧，不亏损。</w:t>
      </w:r>
    </w:p>
    <w:p>
      <w:pPr>
        <w:ind w:left="0" w:right="0" w:firstLine="560"/>
        <w:spacing w:before="450" w:after="450" w:line="312" w:lineRule="auto"/>
      </w:pPr>
      <w:r>
        <w:rPr>
          <w:rFonts w:ascii="宋体" w:hAnsi="宋体" w:eastAsia="宋体" w:cs="宋体"/>
          <w:color w:val="000"/>
          <w:sz w:val="28"/>
          <w:szCs w:val="28"/>
        </w:rPr>
        <w:t xml:space="preserve">6、企业负债与信用</w:t>
      </w:r>
    </w:p>
    <w:p>
      <w:pPr>
        <w:ind w:left="0" w:right="0" w:firstLine="560"/>
        <w:spacing w:before="450" w:after="450" w:line="312" w:lineRule="auto"/>
      </w:pPr>
      <w:r>
        <w:rPr>
          <w:rFonts w:ascii="宋体" w:hAnsi="宋体" w:eastAsia="宋体" w:cs="宋体"/>
          <w:color w:val="000"/>
          <w:sz w:val="28"/>
          <w:szCs w:val="28"/>
        </w:rPr>
        <w:t xml:space="preserve">企业资产负债率一般应低于60%；企业银行信用等级在a级以上(含a级)。</w:t>
      </w:r>
    </w:p>
    <w:p>
      <w:pPr>
        <w:ind w:left="0" w:right="0" w:firstLine="560"/>
        <w:spacing w:before="450" w:after="450" w:line="312" w:lineRule="auto"/>
      </w:pPr>
      <w:r>
        <w:rPr>
          <w:rFonts w:ascii="宋体" w:hAnsi="宋体" w:eastAsia="宋体" w:cs="宋体"/>
          <w:color w:val="000"/>
          <w:sz w:val="28"/>
          <w:szCs w:val="28"/>
        </w:rPr>
        <w:t xml:space="preserve">7、企业带动能力</w:t>
      </w:r>
    </w:p>
    <w:p>
      <w:pPr>
        <w:ind w:left="0" w:right="0" w:firstLine="560"/>
        <w:spacing w:before="450" w:after="450" w:line="312" w:lineRule="auto"/>
      </w:pPr>
      <w:r>
        <w:rPr>
          <w:rFonts w:ascii="宋体" w:hAnsi="宋体" w:eastAsia="宋体" w:cs="宋体"/>
          <w:color w:val="000"/>
          <w:sz w:val="28"/>
          <w:szCs w:val="28"/>
        </w:rPr>
        <w:t xml:space="preserve">通过建立可靠、稳定的利益联结机制带动农户(特种养殖业和农垦企业除外)的数量一般应达到：东部、中部地区3000户以上，西部地区1000户以上；企业从事农产品加工、流通过程中，通过订立合同、入股和合作方式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w:t>
      </w:r>
    </w:p>
    <w:p>
      <w:pPr>
        <w:ind w:left="0" w:right="0" w:firstLine="560"/>
        <w:spacing w:before="450" w:after="450" w:line="312" w:lineRule="auto"/>
      </w:pPr>
      <w:r>
        <w:rPr>
          <w:rFonts w:ascii="宋体" w:hAnsi="宋体" w:eastAsia="宋体" w:cs="宋体"/>
          <w:color w:val="000"/>
          <w:sz w:val="28"/>
          <w:szCs w:val="28"/>
        </w:rPr>
        <w:t xml:space="preserve">在同行业中企业的产品质量、产品科技含量、新产品开发能力居领先水平，主营产品符合国家产业政策、环保政策和质量管理标准体系，产销率达93%以上。</w:t>
      </w:r>
    </w:p>
    <w:p>
      <w:pPr>
        <w:ind w:left="0" w:right="0" w:firstLine="560"/>
        <w:spacing w:before="450" w:after="450" w:line="312" w:lineRule="auto"/>
      </w:pPr>
      <w:r>
        <w:rPr>
          <w:rFonts w:ascii="宋体" w:hAnsi="宋体" w:eastAsia="宋体" w:cs="宋体"/>
          <w:color w:val="000"/>
          <w:sz w:val="28"/>
          <w:szCs w:val="28"/>
        </w:rPr>
        <w:t xml:space="preserve">9、已开展省级重点龙头企业认定工作的省、自治区、直辖市，申报企业原则上应是省级农业产业化重点龙头企业。</w:t>
      </w:r>
    </w:p>
    <w:p>
      <w:pPr>
        <w:ind w:left="0" w:right="0" w:firstLine="560"/>
        <w:spacing w:before="450" w:after="450" w:line="312" w:lineRule="auto"/>
      </w:pPr>
      <w:r>
        <w:rPr>
          <w:rFonts w:ascii="宋体" w:hAnsi="宋体" w:eastAsia="宋体" w:cs="宋体"/>
          <w:color w:val="000"/>
          <w:sz w:val="28"/>
          <w:szCs w:val="28"/>
        </w:rPr>
        <w:t xml:space="preserve">符合第1、2、3、5、6、7、8、9款要求的加工、流通企业可以申报作为农业产业化国家重点龙头企业；符合本办法第五条第1、2、4、5、6、9款要求的农产品专业批发市场可以申报作为农业产业化国家重点龙头企业。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二、申报材料及申报程序</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1、申报企业应提供企业的基本情况并按照上文“基本标准”的要求提供有关申报材料；</w:t>
      </w:r>
    </w:p>
    <w:p>
      <w:pPr>
        <w:ind w:left="0" w:right="0" w:firstLine="560"/>
        <w:spacing w:before="450" w:after="450" w:line="312" w:lineRule="auto"/>
      </w:pPr>
      <w:r>
        <w:rPr>
          <w:rFonts w:ascii="宋体" w:hAnsi="宋体" w:eastAsia="宋体" w:cs="宋体"/>
          <w:color w:val="000"/>
          <w:sz w:val="28"/>
          <w:szCs w:val="28"/>
        </w:rPr>
        <w:t xml:space="preserve">2、企业的资产和效益情况须经有资质的会计师事务所审定；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3、企业的资信情况须由其开户银行提供证明；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4、企业的带动能力和利益联结关系情况须由县以上农经部门提供说明。</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征求农业、计划、经贸、财政、外经贸、税务、证券监管、供销合作社等部门及有关商业银行对申报企业的意见后，经省(自治区、直辖市)人民政府同意，按规定正式行文向农业部农业产业化办公室推荐，并附审核意见和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第五篇：农业产业化国家重点龙头企业认定和运行监测管理办法[范文]</w:t>
      </w:r>
    </w:p>
    <w:p>
      <w:pPr>
        <w:ind w:left="0" w:right="0" w:firstLine="560"/>
        <w:spacing w:before="450" w:after="450" w:line="312" w:lineRule="auto"/>
      </w:pPr>
      <w:r>
        <w:rPr>
          <w:rFonts w:ascii="宋体" w:hAnsi="宋体" w:eastAsia="宋体" w:cs="宋体"/>
          <w:color w:val="000"/>
          <w:sz w:val="28"/>
          <w:szCs w:val="28"/>
        </w:rPr>
        <w:t xml:space="preserve">关于印发《农业产业化国家重点龙头企业认定和运行监测管理办法》的通知</w:t>
      </w:r>
    </w:p>
    <w:p>
      <w:pPr>
        <w:ind w:left="0" w:right="0" w:firstLine="560"/>
        <w:spacing w:before="450" w:after="450" w:line="312" w:lineRule="auto"/>
      </w:pPr>
      <w:r>
        <w:rPr>
          <w:rFonts w:ascii="宋体" w:hAnsi="宋体" w:eastAsia="宋体" w:cs="宋体"/>
          <w:color w:val="000"/>
          <w:sz w:val="28"/>
          <w:szCs w:val="28"/>
        </w:rPr>
        <w:t xml:space="preserve">作者：来源：农业部经管司时间：2024-11-0</w:t>
      </w:r>
    </w:p>
    <w:p>
      <w:pPr>
        <w:ind w:left="0" w:right="0" w:firstLine="560"/>
        <w:spacing w:before="450" w:after="450" w:line="312" w:lineRule="auto"/>
      </w:pPr>
      <w:r>
        <w:rPr>
          <w:rFonts w:ascii="宋体" w:hAnsi="宋体" w:eastAsia="宋体" w:cs="宋体"/>
          <w:color w:val="000"/>
          <w:sz w:val="28"/>
          <w:szCs w:val="28"/>
        </w:rPr>
        <w:t xml:space="preserve">5为切实做好农业产业化国家重点龙头企业的认定、运行监测和指导服务工作，进一步提高龙头企业的辐射带动能力，农业部、国家发改委、财政部、商务部、中国人民银行、国家税务总局、中国证券监督管理委员会、中华全国供销合作总社根据我国现代农业发展新要求和农业产业化发展的新情况，对《农业产业化国家重点龙头企业认定和运监测管理暂行办法》进行了修改。现将修改后的《农业产业化国家重点龙头企业认定和运监测管理办法》印发给你们，请贯彻执行。</w:t>
      </w:r>
    </w:p>
    <w:p>
      <w:pPr>
        <w:ind w:left="0" w:right="0" w:firstLine="560"/>
        <w:spacing w:before="450" w:after="450" w:line="312" w:lineRule="auto"/>
      </w:pPr>
      <w:r>
        <w:rPr>
          <w:rFonts w:ascii="宋体" w:hAnsi="宋体" w:eastAsia="宋体" w:cs="宋体"/>
          <w:color w:val="000"/>
          <w:sz w:val="28"/>
          <w:szCs w:val="28"/>
        </w:rPr>
        <w:t xml:space="preserve">农业产业化国家重点龙头企业</w:t>
      </w:r>
    </w:p>
    <w:p>
      <w:pPr>
        <w:ind w:left="0" w:right="0" w:firstLine="560"/>
        <w:spacing w:before="450" w:after="450" w:line="312" w:lineRule="auto"/>
      </w:pPr>
      <w:r>
        <w:rPr>
          <w:rFonts w:ascii="宋体" w:hAnsi="宋体" w:eastAsia="宋体" w:cs="宋体"/>
          <w:color w:val="000"/>
          <w:sz w:val="28"/>
          <w:szCs w:val="28"/>
        </w:rPr>
        <w:t xml:space="preserve">认定和运行监测管理办法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 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 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 凡申报或已获准作为国家重点龙头企业的企业，适用本办法。</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第五条 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 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 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3.企业的带动能力和利益联结关系情况须由县以上农经部门提供说明。应将企业带动农户情况进行公示，接受社会监督；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w:t>
      </w:r>
    </w:p>
    <w:p>
      <w:pPr>
        <w:ind w:left="0" w:right="0" w:firstLine="560"/>
        <w:spacing w:before="450" w:after="450" w:line="312" w:lineRule="auto"/>
      </w:pPr>
      <w:r>
        <w:rPr>
          <w:rFonts w:ascii="宋体" w:hAnsi="宋体" w:eastAsia="宋体" w:cs="宋体"/>
          <w:color w:val="000"/>
          <w:sz w:val="28"/>
          <w:szCs w:val="28"/>
        </w:rPr>
        <w:t xml:space="preserve">5.企业质量安全情况须由所在地农业部门提供书面证明。</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w:t>
      </w:r>
    </w:p>
    <w:p>
      <w:pPr>
        <w:ind w:left="0" w:right="0" w:firstLine="560"/>
        <w:spacing w:before="450" w:after="450" w:line="312" w:lineRule="auto"/>
      </w:pPr>
      <w:r>
        <w:rPr>
          <w:rFonts w:ascii="宋体" w:hAnsi="宋体" w:eastAsia="宋体" w:cs="宋体"/>
          <w:color w:val="000"/>
          <w:sz w:val="28"/>
          <w:szCs w:val="28"/>
        </w:rPr>
        <w:t xml:space="preserve">第九条 中央所属企业根据属地原则，按照本办法第八条申报程序申报，并同时将有关材料逐级报送中央部门或中央管理企业。</w:t>
      </w:r>
    </w:p>
    <w:p>
      <w:pPr>
        <w:ind w:left="0" w:right="0" w:firstLine="560"/>
        <w:spacing w:before="450" w:after="450" w:line="312" w:lineRule="auto"/>
      </w:pPr>
      <w:r>
        <w:rPr>
          <w:rFonts w:ascii="宋体" w:hAnsi="宋体" w:eastAsia="宋体" w:cs="宋体"/>
          <w:color w:val="000"/>
          <w:sz w:val="28"/>
          <w:szCs w:val="28"/>
        </w:rPr>
        <w:t xml:space="preserve">第三章 认定</w:t>
      </w:r>
    </w:p>
    <w:p>
      <w:pPr>
        <w:ind w:left="0" w:right="0" w:firstLine="560"/>
        <w:spacing w:before="450" w:after="450" w:line="312" w:lineRule="auto"/>
      </w:pPr>
      <w:r>
        <w:rPr>
          <w:rFonts w:ascii="宋体" w:hAnsi="宋体" w:eastAsia="宋体" w:cs="宋体"/>
          <w:color w:val="000"/>
          <w:sz w:val="28"/>
          <w:szCs w:val="28"/>
        </w:rPr>
        <w:t xml:space="preserve">第十条 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 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 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w:t>
      </w:r>
    </w:p>
    <w:p>
      <w:pPr>
        <w:ind w:left="0" w:right="0" w:firstLine="560"/>
        <w:spacing w:before="450" w:after="450" w:line="312" w:lineRule="auto"/>
      </w:pPr>
      <w:r>
        <w:rPr>
          <w:rFonts w:ascii="宋体" w:hAnsi="宋体" w:eastAsia="宋体" w:cs="宋体"/>
          <w:color w:val="000"/>
          <w:sz w:val="28"/>
          <w:szCs w:val="28"/>
        </w:rPr>
        <w:t xml:space="preserve">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 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运行监测</w:t>
      </w:r>
    </w:p>
    <w:p>
      <w:pPr>
        <w:ind w:left="0" w:right="0" w:firstLine="560"/>
        <w:spacing w:before="450" w:after="450" w:line="312" w:lineRule="auto"/>
      </w:pPr>
      <w:r>
        <w:rPr>
          <w:rFonts w:ascii="宋体" w:hAnsi="宋体" w:eastAsia="宋体" w:cs="宋体"/>
          <w:color w:val="000"/>
          <w:sz w:val="28"/>
          <w:szCs w:val="28"/>
        </w:rPr>
        <w:t xml:space="preserve">第十四条 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 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 全国农业产业化联席会议成员单位加强对国家重点龙头企业经济运行情况的跟</w:t>
      </w:r>
    </w:p>
    <w:p>
      <w:pPr>
        <w:ind w:left="0" w:right="0" w:firstLine="560"/>
        <w:spacing w:before="450" w:after="450" w:line="312" w:lineRule="auto"/>
      </w:pPr>
      <w:r>
        <w:rPr>
          <w:rFonts w:ascii="宋体" w:hAnsi="宋体" w:eastAsia="宋体" w:cs="宋体"/>
          <w:color w:val="000"/>
          <w:sz w:val="28"/>
          <w:szCs w:val="28"/>
        </w:rPr>
        <w:t xml:space="preserve">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 监测评估的具体办法是：</w:t>
      </w:r>
    </w:p>
    <w:p>
      <w:pPr>
        <w:ind w:left="0" w:right="0" w:firstLine="560"/>
        <w:spacing w:before="450" w:after="450" w:line="312" w:lineRule="auto"/>
      </w:pPr>
      <w:r>
        <w:rPr>
          <w:rFonts w:ascii="宋体" w:hAnsi="宋体" w:eastAsia="宋体" w:cs="宋体"/>
          <w:color w:val="000"/>
          <w:sz w:val="28"/>
          <w:szCs w:val="28"/>
        </w:rPr>
        <w:t xml:space="preserve">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经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w:t>
      </w:r>
    </w:p>
    <w:p>
      <w:pPr>
        <w:ind w:left="0" w:right="0" w:firstLine="560"/>
        <w:spacing w:before="450" w:after="450" w:line="312" w:lineRule="auto"/>
      </w:pPr>
      <w:r>
        <w:rPr>
          <w:rFonts w:ascii="宋体" w:hAnsi="宋体" w:eastAsia="宋体" w:cs="宋体"/>
          <w:color w:val="000"/>
          <w:sz w:val="28"/>
          <w:szCs w:val="28"/>
        </w:rPr>
        <w:t xml:space="preserve">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 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 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 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 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 本办法由农业部农业产业化办公室负责解释。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本办法自发布之日起施行，《农业产业化国家重点龙头企业认定和运行监测管理暂行办法》（农经发〔2024〕4号）同时废止。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