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如何推进人才强国战略的实施2</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2如何推进人才强国战略的实施摘要:本文重点论述了怎样加快推进人才强国战略,坚持科学的人才观及其重要的现实意义.实施人才强国战略,必须从当代世界和中国深刻变化的实际出发, 从党和国家事业发展的需要出发,树立...</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