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人防教育工作计划（5篇模版）</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计划人防教育工作计划一、指导思想以《中华人民共和国人民防空法》、《中华人民共和国国防教育法》为依据，按照教育面向世界、面向未来、面向现代化的要求，紧紧围绕新时期军事斗争人民防空准备和城市防灾减灾工作的需要，与时俱进，开...</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w:t>
      </w:r>
    </w:p>
    <w:p>
      <w:pPr>
        <w:ind w:left="0" w:right="0" w:firstLine="560"/>
        <w:spacing w:before="450" w:after="450" w:line="312" w:lineRule="auto"/>
      </w:pPr>
      <w:r>
        <w:rPr>
          <w:rFonts w:ascii="宋体" w:hAnsi="宋体" w:eastAsia="宋体" w:cs="宋体"/>
          <w:color w:val="000"/>
          <w:sz w:val="28"/>
          <w:szCs w:val="28"/>
        </w:rPr>
        <w:t xml:space="preserve">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初级中学人防教育的教师，通过各级人防师资培训和几年的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