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最高人民法院政治部关于人民陪审员选任工作若干问题的答复(法政〔2024〕63号,2024年6月1日颁布实施)（5篇范例）</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选任工作若干问题的答复(法政〔2024〕63号,2024年6月1日颁布实施)最高人民法院政治部关于人民陪审员选任工作若干问题的答复法政〔2024〕63号（2024年6月1日颁布实施）各省、自治区、直...</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第四篇：最高人民法院、司法部《关于人民陪审员选任、培训、考核工作的实施意见》专题</w:t>
      </w:r>
    </w:p>
    <w:p>
      <w:pPr>
        <w:ind w:left="0" w:right="0" w:firstLine="560"/>
        <w:spacing w:before="450" w:after="450" w:line="312" w:lineRule="auto"/>
      </w:pPr>
      <w:r>
        <w:rPr>
          <w:rFonts w:ascii="宋体" w:hAnsi="宋体" w:eastAsia="宋体" w:cs="宋体"/>
          <w:color w:val="000"/>
          <w:sz w:val="28"/>
          <w:szCs w:val="28"/>
        </w:rPr>
        <w:t xml:space="preserve">【发布单位】最高人民法院、司法部</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【发布日期】2024-12-16</w:t>
      </w:r>
    </w:p>
    <w:p>
      <w:pPr>
        <w:ind w:left="0" w:right="0" w:firstLine="560"/>
        <w:spacing w:before="450" w:after="450" w:line="312" w:lineRule="auto"/>
      </w:pPr>
      <w:r>
        <w:rPr>
          <w:rFonts w:ascii="宋体" w:hAnsi="宋体" w:eastAsia="宋体" w:cs="宋体"/>
          <w:color w:val="000"/>
          <w:sz w:val="28"/>
          <w:szCs w:val="28"/>
        </w:rPr>
        <w:t xml:space="preserve">【生效日期】2024-12-16</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w:t>
      </w:r>
    </w:p>
    <w:p>
      <w:pPr>
        <w:ind w:left="0" w:right="0" w:firstLine="560"/>
        <w:spacing w:before="450" w:after="450" w:line="312" w:lineRule="auto"/>
      </w:pPr>
      <w:r>
        <w:rPr>
          <w:rFonts w:ascii="宋体" w:hAnsi="宋体" w:eastAsia="宋体" w:cs="宋体"/>
          <w:color w:val="000"/>
          <w:sz w:val="28"/>
          <w:szCs w:val="28"/>
        </w:rPr>
        <w:t xml:space="preserve">最高人民法院、司法部</w:t>
      </w:r>
    </w:p>
    <w:p>
      <w:pPr>
        <w:ind w:left="0" w:right="0" w:firstLine="560"/>
        <w:spacing w:before="450" w:after="450" w:line="312" w:lineRule="auto"/>
      </w:pPr>
      <w:r>
        <w:rPr>
          <w:rFonts w:ascii="宋体" w:hAnsi="宋体" w:eastAsia="宋体" w:cs="宋体"/>
          <w:color w:val="000"/>
          <w:sz w:val="28"/>
          <w:szCs w:val="28"/>
        </w:rPr>
        <w:t xml:space="preserve">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 对于被推荐和本人申请担任人民陪审员的公民，由基层人民法院依照《决定》第四条、第五条、第六条的规定进行审查，初步确定人民陪审员人选 1</w:t>
      </w:r>
    </w:p>
    <w:p>
      <w:pPr>
        <w:ind w:left="0" w:right="0" w:firstLine="560"/>
        <w:spacing w:before="450" w:after="450" w:line="312" w:lineRule="auto"/>
      </w:pPr>
      <w:r>
        <w:rPr>
          <w:rFonts w:ascii="宋体" w:hAnsi="宋体" w:eastAsia="宋体" w:cs="宋体"/>
          <w:color w:val="000"/>
          <w:sz w:val="28"/>
          <w:szCs w:val="28"/>
        </w:rPr>
        <w:t xml:space="preserve">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【发布单位】最高人民法院、司法部 【发布文号】</w:t>
      </w:r>
    </w:p>
    <w:p>
      <w:pPr>
        <w:ind w:left="0" w:right="0" w:firstLine="560"/>
        <w:spacing w:before="450" w:after="450" w:line="312" w:lineRule="auto"/>
      </w:pPr>
      <w:r>
        <w:rPr>
          <w:rFonts w:ascii="宋体" w:hAnsi="宋体" w:eastAsia="宋体" w:cs="宋体"/>
          <w:color w:val="000"/>
          <w:sz w:val="28"/>
          <w:szCs w:val="28"/>
        </w:rPr>
        <w:t xml:space="preserve">【发布日期】2024-12-16 【生效日期】2024-12-16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 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第七条第七条 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第二十四条第二十四条 本意见自公布之日起施行。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