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我市前三季度经济运行情况2</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2全市前三季度经济运行情况按照会议安排，下面我把全市前三季度经济运行和重点项目建设情况作一简要通报。一、经济运行总体情况今年以来，在市场持续低迷、经济下行压力较大的形势下，全市上下认真贯彻落实国家和自治区各...</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第四篇：海南州前三季度经济运行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