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保持党同人民群众的血肉联系的意义所在（范文）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范文）保持党同人民群众的血肉联系的意义所在摘要：在新时期新阶段，我们党面临的形势和任务虽然发生了重大转变，但人民群众作为时代主体的地位、推动时代发展的历史作用并没有改变。实现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