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阳光保险集团公司简介（精选5篇）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公司简介阳光保险集团公司简介（简版）阳光保险集团股份有限公司是国内七大保险集团之一，由中国石油化工集团公司、中国南方航空集团公司、中国铝业公司、中国外运长航集团有限公司、广东电力发展股份有限公司等大型企业集团于2024...</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年度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年度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