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科研中心2024保密工作总结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2024保密工作总结科研中心2024保密工作总结2024年，我中心保密工作在市委保密委、市保密局的领导下，在保密工作协助组的指导下，按照《2024年市保密工作责任目标考核标准》要求，结合单位实际情况和保密工作的热点和难点问...</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在董事长和公司总经理的关心支持下，山光油脂科研中心紧紧围绕集团公司总体战略规划和公司的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